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E38" w:rsidRPr="00841BFB" w:rsidRDefault="00FF4BB7" w:rsidP="00571E38">
      <w:pPr>
        <w:jc w:val="center"/>
        <w:rPr>
          <w:sz w:val="28"/>
          <w:szCs w:val="28"/>
        </w:rPr>
      </w:pPr>
      <w:r w:rsidRPr="00841BFB">
        <w:rPr>
          <w:sz w:val="28"/>
          <w:szCs w:val="28"/>
        </w:rPr>
        <w:t>ПРОТОКОЛ</w:t>
      </w:r>
    </w:p>
    <w:p w:rsidR="00010ECC" w:rsidRPr="00841BFB" w:rsidRDefault="00344CA6" w:rsidP="00010ECC">
      <w:pPr>
        <w:jc w:val="both"/>
        <w:rPr>
          <w:sz w:val="28"/>
          <w:szCs w:val="28"/>
        </w:rPr>
      </w:pPr>
      <w:r w:rsidRPr="00841BFB">
        <w:rPr>
          <w:sz w:val="28"/>
          <w:szCs w:val="28"/>
        </w:rPr>
        <w:t xml:space="preserve">публичных слушаний </w:t>
      </w:r>
      <w:r w:rsidR="0004640C" w:rsidRPr="00841BFB">
        <w:rPr>
          <w:sz w:val="28"/>
          <w:szCs w:val="28"/>
        </w:rPr>
        <w:t xml:space="preserve">по проекту </w:t>
      </w:r>
      <w:r w:rsidR="0064380F">
        <w:rPr>
          <w:sz w:val="28"/>
          <w:szCs w:val="28"/>
        </w:rPr>
        <w:t xml:space="preserve">о </w:t>
      </w:r>
      <w:r w:rsidR="0004640C" w:rsidRPr="00841BFB">
        <w:rPr>
          <w:sz w:val="28"/>
          <w:szCs w:val="28"/>
        </w:rPr>
        <w:t>внесени</w:t>
      </w:r>
      <w:r w:rsidR="0064380F">
        <w:rPr>
          <w:sz w:val="28"/>
          <w:szCs w:val="28"/>
        </w:rPr>
        <w:t>и</w:t>
      </w:r>
      <w:r w:rsidR="0004640C" w:rsidRPr="00841BFB">
        <w:rPr>
          <w:sz w:val="28"/>
          <w:szCs w:val="28"/>
        </w:rPr>
        <w:t xml:space="preserve"> изменений в правила землепользования и застройки </w:t>
      </w:r>
      <w:r w:rsidR="00286AB0" w:rsidRPr="00841BFB">
        <w:rPr>
          <w:sz w:val="27"/>
          <w:szCs w:val="27"/>
        </w:rPr>
        <w:t>Грушев</w:t>
      </w:r>
      <w:r w:rsidR="001C3C08" w:rsidRPr="00841BFB">
        <w:rPr>
          <w:sz w:val="27"/>
          <w:szCs w:val="27"/>
        </w:rPr>
        <w:t xml:space="preserve">ского сельского </w:t>
      </w:r>
      <w:r w:rsidR="0004640C" w:rsidRPr="00841BFB">
        <w:rPr>
          <w:sz w:val="28"/>
          <w:szCs w:val="28"/>
        </w:rPr>
        <w:t>поселения Аксайского района Ростовской области</w:t>
      </w:r>
    </w:p>
    <w:p w:rsidR="00E507B6" w:rsidRPr="00841BFB" w:rsidRDefault="00E507B6" w:rsidP="00344CA6">
      <w:pPr>
        <w:jc w:val="both"/>
        <w:rPr>
          <w:sz w:val="28"/>
          <w:szCs w:val="28"/>
        </w:rPr>
      </w:pPr>
    </w:p>
    <w:p w:rsidR="002A1F32" w:rsidRPr="00841BFB" w:rsidRDefault="005A518A" w:rsidP="002A1F32">
      <w:pPr>
        <w:rPr>
          <w:sz w:val="28"/>
          <w:szCs w:val="28"/>
        </w:rPr>
      </w:pPr>
      <w:r>
        <w:rPr>
          <w:sz w:val="28"/>
          <w:szCs w:val="28"/>
        </w:rPr>
        <w:t>1</w:t>
      </w:r>
      <w:r w:rsidR="00C10B68">
        <w:rPr>
          <w:sz w:val="28"/>
          <w:szCs w:val="28"/>
        </w:rPr>
        <w:t xml:space="preserve">7 </w:t>
      </w:r>
      <w:r>
        <w:rPr>
          <w:sz w:val="28"/>
          <w:szCs w:val="28"/>
        </w:rPr>
        <w:t>июл</w:t>
      </w:r>
      <w:r w:rsidR="00C10B68">
        <w:rPr>
          <w:sz w:val="28"/>
          <w:szCs w:val="28"/>
        </w:rPr>
        <w:t>я</w:t>
      </w:r>
      <w:r w:rsidR="008254CC" w:rsidRPr="00841BFB">
        <w:rPr>
          <w:sz w:val="28"/>
          <w:szCs w:val="28"/>
        </w:rPr>
        <w:t xml:space="preserve"> </w:t>
      </w:r>
      <w:r w:rsidR="0096495C" w:rsidRPr="00841BFB">
        <w:rPr>
          <w:sz w:val="28"/>
          <w:szCs w:val="28"/>
        </w:rPr>
        <w:t>202</w:t>
      </w:r>
      <w:r>
        <w:rPr>
          <w:sz w:val="28"/>
          <w:szCs w:val="28"/>
        </w:rPr>
        <w:t>4</w:t>
      </w:r>
      <w:r w:rsidR="008254CC" w:rsidRPr="00841BFB">
        <w:rPr>
          <w:sz w:val="28"/>
          <w:szCs w:val="28"/>
        </w:rPr>
        <w:t xml:space="preserve"> года</w:t>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D32A24">
        <w:rPr>
          <w:sz w:val="28"/>
          <w:szCs w:val="28"/>
        </w:rPr>
        <w:t xml:space="preserve">х. </w:t>
      </w:r>
      <w:r w:rsidR="000F0267">
        <w:rPr>
          <w:sz w:val="28"/>
          <w:szCs w:val="28"/>
        </w:rPr>
        <w:t>Валовый</w:t>
      </w:r>
      <w:bookmarkStart w:id="0" w:name="_GoBack"/>
      <w:bookmarkEnd w:id="0"/>
    </w:p>
    <w:p w:rsidR="00692608" w:rsidRPr="00841BFB" w:rsidRDefault="00692608" w:rsidP="008E0623">
      <w:pPr>
        <w:jc w:val="both"/>
        <w:rPr>
          <w:sz w:val="27"/>
          <w:szCs w:val="27"/>
        </w:rPr>
      </w:pPr>
    </w:p>
    <w:p w:rsidR="005A518A" w:rsidRDefault="005A518A" w:rsidP="005A518A">
      <w:pPr>
        <w:ind w:firstLine="360"/>
        <w:jc w:val="both"/>
        <w:rPr>
          <w:sz w:val="28"/>
          <w:szCs w:val="28"/>
        </w:rPr>
      </w:pPr>
      <w:r>
        <w:rPr>
          <w:sz w:val="28"/>
          <w:szCs w:val="28"/>
        </w:rPr>
        <w:t>Члены комиссии по проведению публичных слушаний:</w:t>
      </w:r>
    </w:p>
    <w:p w:rsidR="005A518A" w:rsidRDefault="005A518A" w:rsidP="005A518A">
      <w:pPr>
        <w:ind w:firstLine="360"/>
        <w:jc w:val="both"/>
        <w:rPr>
          <w:sz w:val="28"/>
          <w:szCs w:val="28"/>
        </w:rPr>
      </w:pPr>
    </w:p>
    <w:p w:rsidR="005A518A" w:rsidRDefault="005A518A" w:rsidP="005A518A">
      <w:pPr>
        <w:numPr>
          <w:ilvl w:val="0"/>
          <w:numId w:val="19"/>
        </w:numPr>
        <w:jc w:val="both"/>
        <w:rPr>
          <w:sz w:val="28"/>
          <w:szCs w:val="28"/>
        </w:rPr>
      </w:pPr>
      <w:r>
        <w:rPr>
          <w:sz w:val="28"/>
          <w:szCs w:val="28"/>
        </w:rPr>
        <w:t>Кириченко Игорь Сергеевич – главный архитектор Аксайского района, председатель комиссии;</w:t>
      </w:r>
    </w:p>
    <w:p w:rsidR="005A518A" w:rsidRDefault="005A518A" w:rsidP="005A518A">
      <w:pPr>
        <w:numPr>
          <w:ilvl w:val="0"/>
          <w:numId w:val="19"/>
        </w:numPr>
        <w:jc w:val="both"/>
        <w:rPr>
          <w:sz w:val="28"/>
          <w:szCs w:val="28"/>
        </w:rPr>
      </w:pPr>
      <w:r>
        <w:rPr>
          <w:sz w:val="28"/>
          <w:szCs w:val="28"/>
        </w:rPr>
        <w:t>Леонов Владислав Сергеевич – начальник службы главного архитектора, секретарь комиссии (в трудовом отпуске);</w:t>
      </w:r>
    </w:p>
    <w:p w:rsidR="005A518A" w:rsidRDefault="005A518A" w:rsidP="005A518A">
      <w:pPr>
        <w:numPr>
          <w:ilvl w:val="0"/>
          <w:numId w:val="19"/>
        </w:numPr>
        <w:jc w:val="both"/>
        <w:rPr>
          <w:sz w:val="28"/>
          <w:szCs w:val="28"/>
        </w:rPr>
      </w:pPr>
      <w:r>
        <w:rPr>
          <w:sz w:val="28"/>
          <w:szCs w:val="28"/>
        </w:rPr>
        <w:t>Онищенко Николай Леонидович – глава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Ющенко Наталья Сергеевна – ведущий специалист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Гордиенкова Наталья Евгеньевна – председатель Собрания депутатов – глава Грушевского сельского поселения.</w:t>
      </w:r>
    </w:p>
    <w:p w:rsidR="005A518A" w:rsidRDefault="005A518A" w:rsidP="005A518A">
      <w:pPr>
        <w:ind w:left="720"/>
        <w:jc w:val="both"/>
        <w:rPr>
          <w:sz w:val="28"/>
          <w:szCs w:val="28"/>
        </w:rPr>
      </w:pPr>
    </w:p>
    <w:p w:rsidR="005A518A" w:rsidRDefault="005A518A" w:rsidP="005A518A">
      <w:pPr>
        <w:ind w:firstLine="360"/>
        <w:jc w:val="both"/>
        <w:rPr>
          <w:sz w:val="28"/>
          <w:szCs w:val="28"/>
        </w:rPr>
      </w:pPr>
      <w:r>
        <w:rPr>
          <w:sz w:val="28"/>
          <w:szCs w:val="28"/>
        </w:rPr>
        <w:t>Организатор публичных слушаний – Администрация Аксайского района.</w:t>
      </w:r>
    </w:p>
    <w:p w:rsidR="005A518A" w:rsidRDefault="005A518A" w:rsidP="005A518A">
      <w:pPr>
        <w:ind w:firstLine="360"/>
        <w:jc w:val="both"/>
        <w:rPr>
          <w:sz w:val="28"/>
          <w:szCs w:val="28"/>
        </w:rPr>
      </w:pPr>
      <w:r>
        <w:rPr>
          <w:sz w:val="28"/>
          <w:szCs w:val="28"/>
        </w:rPr>
        <w:t>На публичных слушаниях отсутствовали участники публичных слушаний.</w:t>
      </w:r>
    </w:p>
    <w:p w:rsidR="005A518A" w:rsidRDefault="005A518A" w:rsidP="005A518A">
      <w:pPr>
        <w:ind w:firstLine="360"/>
        <w:jc w:val="both"/>
        <w:rPr>
          <w:sz w:val="28"/>
          <w:szCs w:val="28"/>
        </w:rPr>
      </w:pPr>
      <w:r>
        <w:rPr>
          <w:sz w:val="28"/>
          <w:szCs w:val="28"/>
        </w:rPr>
        <w:t xml:space="preserve">Проект о внесении изменений в правила землепользования и застройки Грушевского сельского поселения Аксайского района Ростовской области (далее – проект правил землепользования и застройки) разработан обществом с ограниченной ответственностью «Гео-Метрия» на основании постановления Администрации Аксайского района от 15 апреля 2024 года № 217. Данное постановление размещено на официальном сайте Администрации Аксайского района в информационно-телекоммуникационной сети «Интернет» и опубликовано в информационном бюллетене Администрации Аксайского района «Аксайский район официальный» от 19 апреля 2024 года № 17 (1483). </w:t>
      </w:r>
    </w:p>
    <w:p w:rsidR="005A518A" w:rsidRDefault="005A518A" w:rsidP="005A518A">
      <w:pPr>
        <w:ind w:firstLine="360"/>
        <w:jc w:val="both"/>
        <w:rPr>
          <w:sz w:val="28"/>
          <w:szCs w:val="28"/>
        </w:rPr>
      </w:pPr>
    </w:p>
    <w:p w:rsidR="005A518A" w:rsidRDefault="005A518A" w:rsidP="005A518A">
      <w:pPr>
        <w:ind w:firstLine="360"/>
        <w:jc w:val="both"/>
        <w:rPr>
          <w:sz w:val="28"/>
          <w:szCs w:val="28"/>
        </w:rPr>
      </w:pPr>
      <w:r>
        <w:rPr>
          <w:sz w:val="28"/>
          <w:szCs w:val="28"/>
        </w:rPr>
        <w:t xml:space="preserve">В проекте правил землепользования и </w:t>
      </w:r>
      <w:proofErr w:type="gramStart"/>
      <w:r>
        <w:rPr>
          <w:sz w:val="28"/>
          <w:szCs w:val="28"/>
        </w:rPr>
        <w:t>застройки</w:t>
      </w:r>
      <w:proofErr w:type="gramEnd"/>
      <w:r>
        <w:rPr>
          <w:sz w:val="28"/>
          <w:szCs w:val="28"/>
        </w:rPr>
        <w:t xml:space="preserve"> отражено следующие изменения: </w:t>
      </w:r>
    </w:p>
    <w:p w:rsidR="005A518A" w:rsidRDefault="005A518A" w:rsidP="005A518A">
      <w:pPr>
        <w:jc w:val="both"/>
        <w:rPr>
          <w:sz w:val="20"/>
          <w:szCs w:val="20"/>
        </w:rPr>
      </w:pPr>
      <w:r>
        <w:rPr>
          <w:sz w:val="20"/>
          <w:szCs w:val="20"/>
        </w:rPr>
        <w:t>1. В карте градостроительного зонирования:</w:t>
      </w:r>
    </w:p>
    <w:p w:rsidR="005A518A" w:rsidRDefault="005A518A" w:rsidP="005A518A">
      <w:pPr>
        <w:jc w:val="both"/>
        <w:rPr>
          <w:sz w:val="20"/>
          <w:szCs w:val="20"/>
        </w:rPr>
      </w:pPr>
      <w:r>
        <w:rPr>
          <w:sz w:val="20"/>
          <w:szCs w:val="20"/>
        </w:rPr>
        <w:t>1.1. Включить земельный участок с кадастровым номером 61:02:0600002:2482 в состав территориальной зоны П-2/10 «ЗОНА ПРОИЗВОДСТВЕННО-КОММУНАЛЬНЫХ ОБЪЕКТОВ IV КЛАССА ВРЕДНОСТИ».</w:t>
      </w:r>
    </w:p>
    <w:p w:rsidR="005A518A" w:rsidRDefault="005A518A" w:rsidP="005A518A">
      <w:pPr>
        <w:jc w:val="both"/>
        <w:rPr>
          <w:sz w:val="20"/>
          <w:szCs w:val="20"/>
        </w:rPr>
      </w:pPr>
    </w:p>
    <w:p w:rsidR="005A518A" w:rsidRDefault="005A518A" w:rsidP="005A518A">
      <w:pPr>
        <w:jc w:val="both"/>
        <w:rPr>
          <w:sz w:val="20"/>
          <w:szCs w:val="20"/>
        </w:rPr>
      </w:pPr>
      <w:r>
        <w:rPr>
          <w:sz w:val="20"/>
          <w:szCs w:val="20"/>
        </w:rPr>
        <w:t>2. В градостроительном регламенте:</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2.1.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Ж-2/1, Ж-2/2, Ж-2/3, Ж-2/4, Ж-2/5, Ж-2/6, Ж-2/7, Ж-2/8, Ж-2/9, Ж-2/10, Ж-2/11, Ж-2/12, Ж-2/13, Ж-2/14, Ж-2/15</w:t>
      </w:r>
      <w:r>
        <w:rPr>
          <w:bCs/>
          <w:sz w:val="20"/>
          <w:szCs w:val="20"/>
        </w:rPr>
        <w:t xml:space="preserve"> «</w:t>
      </w:r>
      <w:r>
        <w:rPr>
          <w:sz w:val="20"/>
          <w:szCs w:val="20"/>
        </w:rPr>
        <w:t>Зона развития индивидуальной жилой застройки</w:t>
      </w:r>
      <w:r>
        <w:rPr>
          <w:bCs/>
          <w:sz w:val="20"/>
          <w:szCs w:val="20"/>
        </w:rPr>
        <w:t xml:space="preserve">»; </w:t>
      </w:r>
      <w:r>
        <w:rPr>
          <w:sz w:val="20"/>
          <w:szCs w:val="20"/>
        </w:rPr>
        <w:t>Ж-3/1, Ж-3/2 «Зона развития смешанной жилой застройки</w:t>
      </w:r>
      <w:r>
        <w:rPr>
          <w:bCs/>
          <w:sz w:val="20"/>
          <w:szCs w:val="20"/>
        </w:rPr>
        <w:t xml:space="preserve">» </w:t>
      </w:r>
      <w:r>
        <w:rPr>
          <w:sz w:val="20"/>
          <w:szCs w:val="20"/>
        </w:rPr>
        <w:t>вида разрешенного использования земельных участков 2.1 «Для индивидуального жилищного строительства» заменить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p>
    <w:p w:rsidR="005A518A" w:rsidRDefault="005A518A" w:rsidP="005A518A">
      <w:pPr>
        <w:jc w:val="both"/>
        <w:rPr>
          <w:rFonts w:eastAsia="SimSun"/>
          <w:sz w:val="20"/>
          <w:szCs w:val="20"/>
          <w:lang w:eastAsia="zh-CN"/>
        </w:rPr>
      </w:pPr>
      <w:r>
        <w:rPr>
          <w:sz w:val="20"/>
          <w:szCs w:val="20"/>
        </w:rPr>
        <w:lastRenderedPageBreak/>
        <w:t>слова «</w:t>
      </w:r>
      <w:r>
        <w:rPr>
          <w:rFonts w:eastAsia="SimSun"/>
          <w:sz w:val="20"/>
          <w:szCs w:val="20"/>
          <w:lang w:eastAsia="zh-CN"/>
        </w:rPr>
        <w:t>Общая площадь индивидуального жилого дома должна составлять не менее 34 кв.м.» заменить словами «Общая площадь индивидуального жилого дома должна составлять не менее 54 кв.м.».</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2.2.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вида разрешенного использования земельных участков 2.2 «Для ведения личного подсобного хозяйства (приусадебный земельный участок)»:</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жилого дома должна составлять не менее 34 кв.м.» заменить словами «Общая площадь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sz w:val="20"/>
          <w:szCs w:val="20"/>
          <w:lang w:eastAsia="ar-SA"/>
        </w:rPr>
        <w:t xml:space="preserve">2.3. </w:t>
      </w:r>
      <w:r>
        <w:rPr>
          <w:sz w:val="20"/>
          <w:szCs w:val="20"/>
        </w:rPr>
        <w:t xml:space="preserve">В составе градостроительного регламента территориальных зон </w:t>
      </w:r>
      <w:r>
        <w:rPr>
          <w:bCs/>
          <w:sz w:val="20"/>
          <w:szCs w:val="20"/>
        </w:rPr>
        <w:t>СХ-2/1, СХ-2/2, СХ-2/3, СХ-2/4 «Зона существующего ведения садоводства»</w:t>
      </w:r>
      <w:r>
        <w:rPr>
          <w:sz w:val="20"/>
          <w:szCs w:val="20"/>
        </w:rPr>
        <w:t xml:space="preserve"> вида разрешенного использования земельных участков 13.2 «Ведение садоводства» установить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r>
        <w:rPr>
          <w:rFonts w:eastAsia="SimSun"/>
          <w:sz w:val="20"/>
          <w:szCs w:val="20"/>
          <w:lang w:eastAsia="zh-CN"/>
        </w:rPr>
        <w:t xml:space="preserve"> </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садового и жилого дома должна составлять не менее 34 кв.м.» заменить словами «Общая площадь садового и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sz w:val="20"/>
          <w:szCs w:val="20"/>
        </w:rPr>
      </w:pPr>
      <w:r>
        <w:rPr>
          <w:rFonts w:eastAsia="SimSun"/>
          <w:sz w:val="20"/>
          <w:szCs w:val="20"/>
          <w:lang w:eastAsia="zh-CN"/>
        </w:rPr>
        <w:t xml:space="preserve">2.4. </w:t>
      </w:r>
      <w:r>
        <w:rPr>
          <w:sz w:val="20"/>
          <w:szCs w:val="20"/>
        </w:rPr>
        <w:t>Установить минимальный процент застройки основными объектами капитального строительства 10 % для всех видов разрешенного использования, кроме видов разрешенного использования 2.1 «Для индивидуального жилищного строительства», 2.2 «Для ведения личного подсобного хозяйства (приусадебный земельный участок)», 2.3 «Блокированная жилая застройка», 2.1.1 «Малоэтажная многоквартирная жилая застройка», 2.5. «Среднеэтажная жилая застройка», 12.0.2 «</w:t>
      </w:r>
      <w:r>
        <w:rPr>
          <w:rFonts w:eastAsia="MS Mincho"/>
          <w:sz w:val="20"/>
          <w:szCs w:val="20"/>
          <w:lang w:eastAsia="ar-SA"/>
        </w:rPr>
        <w:t>Благоустройство территории», 13.2 «Ведение садоводства»</w:t>
      </w:r>
      <w:r>
        <w:rPr>
          <w:sz w:val="20"/>
          <w:szCs w:val="20"/>
        </w:rPr>
        <w:t>.</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rFonts w:eastAsia="SimSun"/>
          <w:sz w:val="20"/>
          <w:szCs w:val="20"/>
          <w:lang w:eastAsia="zh-CN"/>
        </w:rPr>
        <w:t xml:space="preserve">2.5. Установить следующий градостроительный регламент территориальных зон </w:t>
      </w:r>
      <w:r>
        <w:rPr>
          <w:bCs/>
          <w:sz w:val="20"/>
          <w:szCs w:val="20"/>
        </w:rPr>
        <w:t>ПК-1/1, ПК-1/2, ПК-1/3, ПК-1/4, ПК-1/5, ПК-1/6, ПК-1/7, ПК-1/8, ПК-1/9, ПК-1/10 - ЗОНА ПРОИЗВОДСТВЕННО-КОММУНАЛЬНЫХ ОБЪЕКТОВ V КЛАССА ВРЕДНОСТИ.</w:t>
      </w:r>
    </w:p>
    <w:p w:rsidR="005A518A" w:rsidRDefault="005A518A" w:rsidP="005A518A">
      <w:pPr>
        <w:jc w:val="both"/>
        <w:rPr>
          <w:sz w:val="20"/>
          <w:szCs w:val="20"/>
        </w:rPr>
      </w:pPr>
      <w:r>
        <w:rPr>
          <w:sz w:val="20"/>
          <w:szCs w:val="20"/>
        </w:rPr>
        <w:tab/>
        <w:t>Зона выделена для обеспечения правовых условий формирования коммунально-производственных предприятий и складских баз V класса вредности с санитарно-защитной зоной не более 50 м, с низкими уровнями шума и загрязнения. Допускается широкий спектр коммерческих услуг, сопровождающих производственную деятельность и размещение объектов малого предпринимательства.</w:t>
      </w:r>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w:t>
            </w:r>
            <w:r>
              <w:rPr>
                <w:rFonts w:eastAsia="SimSun"/>
                <w:sz w:val="20"/>
                <w:szCs w:val="20"/>
                <w:lang w:eastAsia="zh-CN"/>
              </w:rPr>
              <w:lastRenderedPageBreak/>
              <w:t>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w:t>
            </w:r>
            <w:r>
              <w:rPr>
                <w:rFonts w:eastAsia="SimSun"/>
                <w:sz w:val="20"/>
                <w:szCs w:val="20"/>
                <w:lang w:eastAsia="zh-CN"/>
              </w:rPr>
              <w:lastRenderedPageBreak/>
              <w:t>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50м.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основными объектами капитального строительства – 32 %.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7"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8"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 xml:space="preserve">Минимальный процент застройки </w:t>
            </w:r>
            <w:r>
              <w:rPr>
                <w:rFonts w:eastAsia="SimSun"/>
                <w:sz w:val="20"/>
                <w:szCs w:val="20"/>
                <w:lang w:eastAsia="zh-CN"/>
              </w:rPr>
              <w:lastRenderedPageBreak/>
              <w:t>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jc w:val="both"/>
        <w:rPr>
          <w:sz w:val="20"/>
          <w:szCs w:val="20"/>
        </w:rPr>
      </w:pPr>
    </w:p>
    <w:p w:rsidR="005A518A" w:rsidRDefault="005A518A" w:rsidP="005A518A">
      <w:pPr>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2978"/>
        <w:gridCol w:w="2694"/>
        <w:gridCol w:w="3710"/>
      </w:tblGrid>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код</w:t>
            </w:r>
          </w:p>
        </w:tc>
        <w:tc>
          <w:tcPr>
            <w:tcW w:w="2977"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69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1.15</w:t>
            </w:r>
          </w:p>
        </w:tc>
        <w:tc>
          <w:tcPr>
            <w:tcW w:w="2977"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shd w:val="clear" w:color="auto" w:fill="FFFFFF"/>
              </w:rPr>
            </w:pPr>
            <w:r>
              <w:rPr>
                <w:rStyle w:val="searchresult"/>
                <w:sz w:val="20"/>
                <w:szCs w:val="20"/>
                <w:bdr w:val="none" w:sz="0" w:space="0" w:color="auto" w:frame="1"/>
                <w:shd w:val="clear" w:color="auto" w:fill="FFFFFF"/>
              </w:rPr>
              <w:t>Хранение</w:t>
            </w:r>
            <w:r>
              <w:rPr>
                <w:sz w:val="20"/>
                <w:szCs w:val="20"/>
                <w:shd w:val="clear" w:color="auto" w:fill="FFFFFF"/>
              </w:rPr>
              <w:t> </w:t>
            </w:r>
            <w:r>
              <w:rPr>
                <w:rStyle w:val="searchresult"/>
                <w:sz w:val="20"/>
                <w:szCs w:val="20"/>
                <w:bdr w:val="none" w:sz="0" w:space="0" w:color="auto" w:frame="1"/>
                <w:shd w:val="clear" w:color="auto" w:fill="FFFFFF"/>
              </w:rPr>
              <w:t>и</w:t>
            </w:r>
            <w:r>
              <w:rPr>
                <w:sz w:val="20"/>
                <w:szCs w:val="20"/>
                <w:shd w:val="clear" w:color="auto" w:fill="FFFFFF"/>
              </w:rPr>
              <w:t> </w:t>
            </w:r>
            <w:r>
              <w:rPr>
                <w:rStyle w:val="searchresult"/>
                <w:sz w:val="20"/>
                <w:szCs w:val="20"/>
                <w:bdr w:val="none" w:sz="0" w:space="0" w:color="auto" w:frame="1"/>
                <w:shd w:val="clear" w:color="auto" w:fill="FFFFFF"/>
              </w:rPr>
              <w:t>переработка</w:t>
            </w:r>
            <w:r>
              <w:rPr>
                <w:sz w:val="20"/>
                <w:szCs w:val="20"/>
                <w:shd w:val="clear" w:color="auto" w:fill="FFFFFF"/>
              </w:rPr>
              <w:t> </w:t>
            </w:r>
          </w:p>
          <w:p w:rsidR="005A518A" w:rsidRDefault="005A518A">
            <w:pPr>
              <w:rPr>
                <w:rFonts w:eastAsia="SimSun"/>
                <w:sz w:val="20"/>
                <w:szCs w:val="20"/>
                <w:lang w:eastAsia="zh-CN"/>
              </w:rPr>
            </w:pPr>
            <w:r>
              <w:rPr>
                <w:sz w:val="20"/>
                <w:szCs w:val="20"/>
                <w:shd w:val="clear" w:color="auto" w:fill="FFFFFF"/>
              </w:rPr>
              <w:t>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bl>
    <w:p w:rsidR="005A518A" w:rsidRDefault="005A518A" w:rsidP="005A518A">
      <w:pPr>
        <w:ind w:firstLine="708"/>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center"/>
        <w:rPr>
          <w:sz w:val="20"/>
          <w:szCs w:val="20"/>
        </w:rPr>
      </w:pPr>
    </w:p>
    <w:p w:rsidR="005A518A" w:rsidRDefault="005A518A" w:rsidP="005A518A">
      <w:pPr>
        <w:jc w:val="center"/>
        <w:rPr>
          <w:sz w:val="20"/>
          <w:szCs w:val="20"/>
        </w:rPr>
      </w:pPr>
      <w:r>
        <w:rPr>
          <w:rFonts w:eastAsia="SimSun"/>
          <w:sz w:val="20"/>
          <w:szCs w:val="20"/>
          <w:lang w:eastAsia="zh-CN"/>
        </w:rPr>
        <w:t>2.6. Установить следующий градостроительный регламент территориальных зон</w:t>
      </w:r>
      <w:r>
        <w:rPr>
          <w:sz w:val="20"/>
          <w:szCs w:val="20"/>
        </w:rPr>
        <w:t xml:space="preserve"> ПК-2/1, ПК-2/2, ПК-2/3, ПК-2/4, ПК-2/5, ПК-2/6, ПК-2/7, ПК-2/8, ПК-2/9 - ЗОНА ПРОИЗВОДСТВЕННО-КОММУНАЛЬНЫХ ОБЪЕКТОВ IV КЛАССА ВРЕДНОСТИ.</w:t>
      </w:r>
    </w:p>
    <w:p w:rsidR="005A518A" w:rsidRDefault="005A518A" w:rsidP="005A518A">
      <w:pPr>
        <w:jc w:val="both"/>
        <w:rPr>
          <w:sz w:val="20"/>
          <w:szCs w:val="20"/>
        </w:rPr>
      </w:pPr>
      <w:r>
        <w:rPr>
          <w:sz w:val="20"/>
          <w:szCs w:val="20"/>
        </w:rPr>
        <w:tab/>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w:t>
      </w:r>
      <w:r>
        <w:rPr>
          <w:sz w:val="20"/>
          <w:szCs w:val="20"/>
        </w:rPr>
        <w:t>V класса вредности с санитарно-защитной зоной не более 100 м, с низкими уровнями шума и загрязнения. Допускается широкий спектр коммерческих услуг, сопровождающих производственную деятельность, размещения объектов малого предпринимательства.</w:t>
      </w:r>
    </w:p>
    <w:p w:rsidR="005A518A" w:rsidRDefault="005A518A" w:rsidP="005A518A">
      <w:pPr>
        <w:jc w:val="both"/>
        <w:rPr>
          <w:sz w:val="20"/>
          <w:szCs w:val="20"/>
        </w:rPr>
      </w:pPr>
      <w:r>
        <w:rPr>
          <w:sz w:val="20"/>
          <w:szCs w:val="20"/>
        </w:rPr>
        <w:tab/>
        <w:t xml:space="preserve">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w:t>
            </w:r>
            <w:r>
              <w:rPr>
                <w:rFonts w:eastAsia="SimSun"/>
                <w:sz w:val="20"/>
                <w:szCs w:val="20"/>
                <w:lang w:eastAsia="zh-CN"/>
              </w:rPr>
              <w:lastRenderedPageBreak/>
              <w:t>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lastRenderedPageBreak/>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Предельные линейные размеры земельных участков не </w:t>
            </w:r>
            <w:r>
              <w:rPr>
                <w:rFonts w:eastAsia="SimSun"/>
                <w:sz w:val="20"/>
                <w:szCs w:val="20"/>
                <w:lang w:eastAsia="zh-CN"/>
              </w:rPr>
              <w:lastRenderedPageBreak/>
              <w:t>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0"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Обеспечение дорожного </w:t>
            </w:r>
            <w:r>
              <w:rPr>
                <w:rFonts w:ascii="Times New Roman" w:hAnsi="Times New Roman" w:cs="Times New Roman"/>
              </w:rPr>
              <w:lastRenderedPageBreak/>
              <w:t>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lastRenderedPageBreak/>
              <w:t xml:space="preserve">Размещение зданий для </w:t>
            </w:r>
            <w:r>
              <w:rPr>
                <w:rFonts w:ascii="Times New Roman" w:hAnsi="Times New Roman" w:cs="Times New Roman"/>
              </w:rPr>
              <w:lastRenderedPageBreak/>
              <w:t>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 xml:space="preserve">Максимальная/ минимальная </w:t>
            </w:r>
            <w:r>
              <w:rPr>
                <w:rFonts w:eastAsia="SimSun"/>
                <w:sz w:val="20"/>
                <w:szCs w:val="20"/>
              </w:rPr>
              <w:lastRenderedPageBreak/>
              <w:t>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 xml:space="preserve">аницах городских улиц и дорог, за исключением предусмотренных видами </w:t>
            </w:r>
            <w:r>
              <w:rPr>
                <w:rFonts w:eastAsia="SimSun"/>
                <w:sz w:val="20"/>
                <w:szCs w:val="20"/>
                <w:lang w:eastAsia="zh-CN"/>
              </w:rPr>
              <w:lastRenderedPageBreak/>
              <w:t>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w:t>
            </w:r>
            <w:r>
              <w:rPr>
                <w:rFonts w:eastAsia="SimSun"/>
                <w:sz w:val="20"/>
                <w:szCs w:val="20"/>
                <w:lang w:eastAsia="zh-CN"/>
              </w:rPr>
              <w:lastRenderedPageBreak/>
              <w:t>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lastRenderedPageBreak/>
        <w:t>Условно разрешенные виды использования объектов капитального строительства и земельных участков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ind w:firstLine="540"/>
        <w:jc w:val="center"/>
        <w:rPr>
          <w:sz w:val="20"/>
          <w:szCs w:val="20"/>
        </w:rPr>
      </w:pPr>
      <w:r>
        <w:rPr>
          <w:rFonts w:eastAsia="SimSun"/>
          <w:sz w:val="20"/>
          <w:szCs w:val="20"/>
          <w:lang w:eastAsia="zh-CN"/>
        </w:rPr>
        <w:t>2.7. Установить следующий градостроительный регламент территориальных зон</w:t>
      </w:r>
      <w:r>
        <w:rPr>
          <w:sz w:val="20"/>
          <w:szCs w:val="20"/>
        </w:rPr>
        <w:t xml:space="preserve"> ПК-3/1, ПК-3/2 </w:t>
      </w:r>
      <w:r>
        <w:rPr>
          <w:bCs/>
          <w:sz w:val="20"/>
          <w:szCs w:val="20"/>
        </w:rPr>
        <w:t xml:space="preserve">- ЗОНА ПРОИЗВОДСТВЕННО-КОММУНАЛЬНЫХ ОБЪЕКТОВ </w:t>
      </w:r>
      <w:r>
        <w:rPr>
          <w:sz w:val="20"/>
          <w:szCs w:val="20"/>
          <w:lang w:val="en-US"/>
        </w:rPr>
        <w:t>III</w:t>
      </w:r>
      <w:r>
        <w:rPr>
          <w:bCs/>
          <w:sz w:val="20"/>
          <w:szCs w:val="20"/>
        </w:rPr>
        <w:t xml:space="preserve"> КЛАССА ВРЕДНОСТИ.</w:t>
      </w:r>
    </w:p>
    <w:p w:rsidR="005A518A" w:rsidRDefault="005A518A" w:rsidP="005A518A">
      <w:pPr>
        <w:jc w:val="both"/>
        <w:rPr>
          <w:sz w:val="20"/>
          <w:szCs w:val="20"/>
        </w:rPr>
      </w:pPr>
      <w:r>
        <w:rPr>
          <w:sz w:val="20"/>
          <w:szCs w:val="20"/>
        </w:rPr>
        <w:tab/>
      </w:r>
      <w:proofErr w:type="gramStart"/>
      <w:r>
        <w:rPr>
          <w:sz w:val="20"/>
          <w:szCs w:val="20"/>
        </w:rPr>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III</w:t>
      </w:r>
      <w:r>
        <w:rPr>
          <w:sz w:val="20"/>
          <w:szCs w:val="20"/>
        </w:rPr>
        <w:t xml:space="preserve"> класса вредности с санитарно-защитной зоной не более 300 м. Допускается широкий спектр коммерческих услуг, сопровождающих производственную деятельность и размещение объектов малого предпринимательства.</w:t>
      </w:r>
      <w:proofErr w:type="gramEnd"/>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Pr>
                <w:rFonts w:eastAsia="SimSun"/>
                <w:sz w:val="20"/>
                <w:szCs w:val="20"/>
                <w:lang w:eastAsia="zh-CN"/>
              </w:rPr>
              <w:lastRenderedPageBreak/>
              <w:t>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1"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2"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w:t>
            </w:r>
            <w:r>
              <w:rPr>
                <w:rFonts w:eastAsia="SimSun"/>
                <w:sz w:val="20"/>
                <w:szCs w:val="20"/>
                <w:lang w:eastAsia="zh-CN"/>
              </w:rPr>
              <w:lastRenderedPageBreak/>
              <w:t>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proofErr w:type="gramStart"/>
            <w:r>
              <w:rPr>
                <w:sz w:val="20"/>
                <w:szCs w:val="20"/>
                <w:shd w:val="clear" w:color="auto" w:fill="FFFFFF"/>
              </w:rPr>
              <w:t>Фарфоро-фаянсовая</w:t>
            </w:r>
            <w:proofErr w:type="gramEnd"/>
            <w:r>
              <w:rPr>
                <w:sz w:val="20"/>
                <w:szCs w:val="20"/>
                <w:shd w:val="clear" w:color="auto" w:fill="FFFFFF"/>
              </w:rPr>
              <w:t xml:space="preserve">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 xml:space="preserve">Размещение объектов капитального строительства, предназначенных для производства продукции </w:t>
            </w:r>
            <w:proofErr w:type="gramStart"/>
            <w:r>
              <w:rPr>
                <w:sz w:val="20"/>
                <w:szCs w:val="20"/>
                <w:shd w:val="clear" w:color="auto" w:fill="FFFFFF"/>
              </w:rPr>
              <w:t>фарфоро-фаянсовой</w:t>
            </w:r>
            <w:proofErr w:type="gramEnd"/>
            <w:r>
              <w:rPr>
                <w:sz w:val="20"/>
                <w:szCs w:val="20"/>
                <w:shd w:val="clear" w:color="auto" w:fill="FFFFFF"/>
              </w:rPr>
              <w:t xml:space="preserve">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45 %.</w:t>
            </w:r>
          </w:p>
          <w:p w:rsidR="005A518A" w:rsidRDefault="005A518A">
            <w:pPr>
              <w:ind w:firstLine="426"/>
              <w:rPr>
                <w:rFonts w:eastAsia="SimSun"/>
                <w:sz w:val="20"/>
                <w:szCs w:val="20"/>
                <w:lang w:eastAsia="zh-CN"/>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jc w:val="center"/>
        <w:rPr>
          <w:sz w:val="20"/>
          <w:szCs w:val="20"/>
        </w:rPr>
      </w:pPr>
      <w:r>
        <w:rPr>
          <w:sz w:val="20"/>
          <w:szCs w:val="20"/>
        </w:rPr>
        <w:t>2.8</w:t>
      </w:r>
      <w:r>
        <w:rPr>
          <w:rFonts w:eastAsia="SimSun"/>
          <w:sz w:val="20"/>
          <w:szCs w:val="20"/>
          <w:lang w:eastAsia="zh-CN"/>
        </w:rPr>
        <w:t>. Установить следующий градостроительный регламент территориальных зон</w:t>
      </w:r>
      <w:r>
        <w:rPr>
          <w:sz w:val="20"/>
          <w:szCs w:val="20"/>
        </w:rPr>
        <w:t xml:space="preserve"> ПК-2/10 - ЗОНА ПРОИЗВОДСТВЕННО-КОММУНАЛЬНЫХ ОБЪЕКТОВ IV КЛАССА ВРЕДНОСТИ.</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3"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4" w:anchor="P402" w:history="1">
              <w:r>
                <w:rPr>
                  <w:rStyle w:val="a7"/>
                  <w:rFonts w:ascii="Times New Roman" w:hAnsi="Times New Roman" w:cs="Times New Roman"/>
                  <w:color w:val="auto"/>
                  <w:u w:val="none"/>
                </w:rPr>
                <w:t>4.9.1.4</w:t>
              </w:r>
            </w:hyperlink>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автозаправочных станций; размещение магазинов </w:t>
            </w:r>
            <w:r>
              <w:rPr>
                <w:rFonts w:ascii="Times New Roman" w:hAnsi="Times New Roman" w:cs="Times New Roman"/>
              </w:rPr>
              <w:lastRenderedPageBreak/>
              <w:t>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lastRenderedPageBreak/>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lastRenderedPageBreak/>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Pr>
                <w:rFonts w:eastAsia="SimSun"/>
                <w:sz w:val="20"/>
                <w:szCs w:val="20"/>
                <w:lang w:eastAsia="zh-CN"/>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7.2.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sz w:val="20"/>
                <w:szCs w:val="20"/>
              </w:rPr>
              <w:t>Автомобильный </w:t>
            </w:r>
            <w:r>
              <w:rPr>
                <w:sz w:val="20"/>
                <w:szCs w:val="20"/>
                <w:shd w:val="clear" w:color="auto" w:fill="FFFFFF"/>
              </w:rPr>
              <w:t>транспорт</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rPr>
              <w:t>Минимальные отступы от границ соседнего участка - 1 м.</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tabs>
          <w:tab w:val="left" w:pos="709"/>
        </w:tabs>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8"/>
          <w:szCs w:val="28"/>
        </w:rPr>
        <w:t xml:space="preserve">2.9. С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/0412 «Об утверждении классификатора видов разрешенного использования земельных участков»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w:t>
      </w:r>
    </w:p>
    <w:p w:rsidR="005A518A" w:rsidRDefault="005A518A" w:rsidP="005A518A">
      <w:pPr>
        <w:ind w:firstLine="360"/>
        <w:jc w:val="both"/>
        <w:rPr>
          <w:sz w:val="28"/>
          <w:szCs w:val="28"/>
        </w:rPr>
      </w:pPr>
      <w:r>
        <w:rPr>
          <w:sz w:val="28"/>
          <w:szCs w:val="28"/>
        </w:rPr>
        <w:t>Публичные слушания по проекту правил землепользования и застройки назначены постановлением председателя Собрания депутатов – главы Аксайского района от 26 июня 2024 года № 47. Данное постановление и проект правил землепользования и застройки размещены на официальном сайте Администрации Аксайского района в информационно-телекоммуникационной сети «Интернет» и опубликованы в информационном бюллетене Администрации Аксайского района «Аксайский район официальный» от 5 июля 2024 года № 29 (1495).</w:t>
      </w:r>
    </w:p>
    <w:p w:rsidR="00C10B68" w:rsidRDefault="005A518A" w:rsidP="005A518A">
      <w:pPr>
        <w:ind w:firstLine="708"/>
        <w:jc w:val="both"/>
        <w:rPr>
          <w:sz w:val="28"/>
          <w:szCs w:val="28"/>
        </w:rPr>
      </w:pPr>
      <w:r>
        <w:rPr>
          <w:sz w:val="28"/>
          <w:szCs w:val="28"/>
        </w:rPr>
        <w:t xml:space="preserve">Сообщение о начале публичных слушаний  размещено на информационном стенде службы главного архитектора Аксайского района по адресу: </w:t>
      </w:r>
      <w:proofErr w:type="gramStart"/>
      <w:r>
        <w:rPr>
          <w:sz w:val="28"/>
          <w:szCs w:val="28"/>
        </w:rPr>
        <w:t xml:space="preserve">Ростовская область, Аксайский район, г. Аксай, пер. Спортивный, 1, </w:t>
      </w:r>
      <w:r>
        <w:rPr>
          <w:sz w:val="28"/>
          <w:szCs w:val="28"/>
        </w:rPr>
        <w:lastRenderedPageBreak/>
        <w:t>третий этаж.</w:t>
      </w:r>
      <w:proofErr w:type="gramEnd"/>
      <w:r>
        <w:rPr>
          <w:sz w:val="28"/>
          <w:szCs w:val="28"/>
        </w:rPr>
        <w:t xml:space="preserve"> Экспозиция проекта правил землепользования и застройки осуществлялась в период с 5 июля 2024 года до 17 июля 2024 года в помещении службы главного архитектора Аксайского района по адресу: </w:t>
      </w:r>
      <w:proofErr w:type="gramStart"/>
      <w:r>
        <w:rPr>
          <w:sz w:val="28"/>
          <w:szCs w:val="28"/>
        </w:rPr>
        <w:t>Ростовская область, Аксайский район, г. Аксай, пер. Спортивный, 1, третий этаж.</w:t>
      </w:r>
      <w:proofErr w:type="gramEnd"/>
      <w:r>
        <w:rPr>
          <w:sz w:val="28"/>
          <w:szCs w:val="28"/>
        </w:rPr>
        <w:t xml:space="preserve"> </w:t>
      </w:r>
      <w:proofErr w:type="gramStart"/>
      <w:r>
        <w:rPr>
          <w:sz w:val="28"/>
          <w:szCs w:val="28"/>
        </w:rPr>
        <w:t xml:space="preserve">Руководствуясь ст. 31 Градостроительного кодекса РФ, </w:t>
      </w:r>
      <w:r>
        <w:rPr>
          <w:rStyle w:val="a9"/>
          <w:i w:val="0"/>
          <w:iCs w:val="0"/>
          <w:sz w:val="28"/>
          <w:szCs w:val="28"/>
          <w:shd w:val="clear" w:color="auto" w:fill="FFFFFF"/>
        </w:rPr>
        <w:t>Приказом</w:t>
      </w:r>
      <w:r>
        <w:rPr>
          <w:sz w:val="28"/>
          <w:szCs w:val="28"/>
          <w:shd w:val="clear" w:color="auto" w:fill="FFFFFF"/>
        </w:rPr>
        <w:t> Министерства экономического развития Российской Федерации</w:t>
      </w:r>
      <w:r>
        <w:rPr>
          <w:sz w:val="28"/>
          <w:szCs w:val="28"/>
        </w:rPr>
        <w:br/>
      </w:r>
      <w:r>
        <w:rPr>
          <w:sz w:val="28"/>
          <w:szCs w:val="28"/>
          <w:shd w:val="clear" w:color="auto" w:fill="FFFFFF"/>
        </w:rPr>
        <w:t>от </w:t>
      </w:r>
      <w:r>
        <w:rPr>
          <w:rStyle w:val="a9"/>
          <w:i w:val="0"/>
          <w:iCs w:val="0"/>
          <w:sz w:val="28"/>
          <w:szCs w:val="28"/>
          <w:shd w:val="clear" w:color="auto" w:fill="FFFFFF"/>
        </w:rPr>
        <w:t>6</w:t>
      </w:r>
      <w:r>
        <w:rPr>
          <w:sz w:val="28"/>
          <w:szCs w:val="28"/>
          <w:shd w:val="clear" w:color="auto" w:fill="FFFFFF"/>
        </w:rPr>
        <w:t> </w:t>
      </w:r>
      <w:r>
        <w:rPr>
          <w:rStyle w:val="a9"/>
          <w:i w:val="0"/>
          <w:iCs w:val="0"/>
          <w:sz w:val="28"/>
          <w:szCs w:val="28"/>
          <w:shd w:val="clear" w:color="auto" w:fill="FFFFFF"/>
        </w:rPr>
        <w:t>мая</w:t>
      </w:r>
      <w:r>
        <w:rPr>
          <w:sz w:val="28"/>
          <w:szCs w:val="28"/>
          <w:shd w:val="clear" w:color="auto" w:fill="FFFFFF"/>
        </w:rPr>
        <w:t> </w:t>
      </w:r>
      <w:r>
        <w:rPr>
          <w:rStyle w:val="a9"/>
          <w:i w:val="0"/>
          <w:iCs w:val="0"/>
          <w:sz w:val="28"/>
          <w:szCs w:val="28"/>
          <w:shd w:val="clear" w:color="auto" w:fill="FFFFFF"/>
        </w:rPr>
        <w:t>2024</w:t>
      </w:r>
      <w:r>
        <w:rPr>
          <w:sz w:val="28"/>
          <w:szCs w:val="28"/>
          <w:shd w:val="clear" w:color="auto" w:fill="FFFFFF"/>
        </w:rPr>
        <w:t> г. N </w:t>
      </w:r>
      <w:r>
        <w:rPr>
          <w:rStyle w:val="a9"/>
          <w:i w:val="0"/>
          <w:iCs w:val="0"/>
          <w:sz w:val="28"/>
          <w:szCs w:val="28"/>
          <w:shd w:val="clear" w:color="auto" w:fill="FFFFFF"/>
        </w:rPr>
        <w:t>273 «</w:t>
      </w:r>
      <w:r>
        <w:rPr>
          <w:sz w:val="28"/>
          <w:szCs w:val="28"/>
          <w:shd w:val="clear" w:color="auto" w:fill="FFFFFF"/>
        </w:rPr>
        <w:t xml:space="preserve">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w:t>
      </w:r>
      <w:r>
        <w:rPr>
          <w:sz w:val="28"/>
          <w:szCs w:val="28"/>
        </w:rPr>
        <w:t xml:space="preserve">комиссия приняла решение о включении в состав </w:t>
      </w:r>
      <w:r>
        <w:rPr>
          <w:rFonts w:eastAsia="SimSun"/>
          <w:sz w:val="28"/>
          <w:szCs w:val="28"/>
          <w:lang w:eastAsia="zh-CN"/>
        </w:rPr>
        <w:t xml:space="preserve">градостроительного регламента территориальных зон </w:t>
      </w:r>
      <w:r>
        <w:rPr>
          <w:bCs/>
          <w:sz w:val="28"/>
          <w:szCs w:val="28"/>
        </w:rPr>
        <w:t>ПК-1/1</w:t>
      </w:r>
      <w:proofErr w:type="gramEnd"/>
      <w:r>
        <w:rPr>
          <w:bCs/>
          <w:sz w:val="28"/>
          <w:szCs w:val="28"/>
        </w:rPr>
        <w:t>, ПК-1/2, ПК-1/3, ПК-1/4, ПК-1/5, ПК-1/6, ПК-1/7, ПК-1/8, ПК-1/9, ПК-1/10 «ЗОНА ПРОИЗВОДСТВЕННО-КОММУНАЛЬНЫХ ОБЪЕКТОВ V КЛАССА ВРЕДНОСТИ»</w:t>
      </w:r>
      <w:r>
        <w:rPr>
          <w:sz w:val="28"/>
          <w:szCs w:val="28"/>
        </w:rPr>
        <w:t xml:space="preserve"> условно-разрешенного вида использования земельного участка 1.15 «Хранение и переработка сельскохозяйственной продукции» с вышеперечисленными видами объектов и </w:t>
      </w:r>
      <w:r>
        <w:rPr>
          <w:rFonts w:eastAsia="SimSun"/>
          <w:sz w:val="28"/>
          <w:szCs w:val="28"/>
          <w:lang w:eastAsia="zh-CN"/>
        </w:rPr>
        <w:t>параметрами разрешенного использования земельных участков и объектов капитального строительства</w:t>
      </w:r>
      <w:r>
        <w:rPr>
          <w:sz w:val="28"/>
          <w:szCs w:val="28"/>
        </w:rPr>
        <w:t>. Также Комиссия приняла решение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 с</w:t>
      </w:r>
      <w:r>
        <w:rPr>
          <w:rFonts w:eastAsia="SimSun"/>
          <w:sz w:val="28"/>
          <w:szCs w:val="28"/>
        </w:rPr>
        <w:t xml:space="preserve">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 xml:space="preserve">/0412 «Об утверждении классификатора видов разрешенного использования земельных участков», минимальный процент застройки 10 % не применять в отношении земельных участков с видом разрешенного использования 13.2 «Ведение садоводства». </w:t>
      </w:r>
      <w:r w:rsidR="00C10B68" w:rsidRPr="009075B1">
        <w:rPr>
          <w:sz w:val="28"/>
          <w:szCs w:val="28"/>
        </w:rPr>
        <w:t>Вопросы, замечания</w:t>
      </w:r>
      <w:r w:rsidR="00C10B68">
        <w:rPr>
          <w:sz w:val="28"/>
          <w:szCs w:val="28"/>
        </w:rPr>
        <w:t xml:space="preserve"> и </w:t>
      </w:r>
      <w:r>
        <w:rPr>
          <w:sz w:val="28"/>
          <w:szCs w:val="28"/>
        </w:rPr>
        <w:t xml:space="preserve">другие </w:t>
      </w:r>
      <w:r w:rsidR="00C10B68">
        <w:rPr>
          <w:sz w:val="28"/>
          <w:szCs w:val="28"/>
        </w:rPr>
        <w:t>предложения</w:t>
      </w:r>
      <w:r w:rsidR="00C10B68" w:rsidRPr="009075B1">
        <w:rPr>
          <w:sz w:val="28"/>
          <w:szCs w:val="28"/>
        </w:rPr>
        <w:t xml:space="preserve"> в адрес комиссии по проведению публичных слушаний не поступали.</w:t>
      </w:r>
      <w:r w:rsidR="00C10B68">
        <w:rPr>
          <w:sz w:val="28"/>
          <w:szCs w:val="28"/>
        </w:rPr>
        <w:t xml:space="preserve"> </w:t>
      </w:r>
    </w:p>
    <w:p w:rsidR="004E3B6C" w:rsidRDefault="004E3B6C" w:rsidP="00FF4BB7">
      <w:pPr>
        <w:ind w:firstLine="360"/>
        <w:jc w:val="both"/>
        <w:rPr>
          <w:sz w:val="28"/>
          <w:szCs w:val="28"/>
        </w:rPr>
      </w:pPr>
    </w:p>
    <w:p w:rsidR="00FF4BB7" w:rsidRDefault="00FF4BB7" w:rsidP="00FF4BB7">
      <w:pPr>
        <w:jc w:val="both"/>
        <w:rPr>
          <w:sz w:val="28"/>
          <w:szCs w:val="28"/>
        </w:rPr>
      </w:pPr>
      <w:r w:rsidRPr="00841BFB">
        <w:rPr>
          <w:sz w:val="28"/>
          <w:szCs w:val="28"/>
        </w:rPr>
        <w:t>Протокол вел</w:t>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00C10B68">
        <w:rPr>
          <w:sz w:val="28"/>
          <w:szCs w:val="28"/>
        </w:rPr>
        <w:t>И.С. Кириченко</w:t>
      </w:r>
      <w:r>
        <w:rPr>
          <w:sz w:val="28"/>
          <w:szCs w:val="28"/>
        </w:rPr>
        <w:t xml:space="preserve"> </w:t>
      </w:r>
    </w:p>
    <w:p w:rsidR="002B105B" w:rsidRPr="007159D4" w:rsidRDefault="002B105B" w:rsidP="00FF4BB7">
      <w:pPr>
        <w:ind w:firstLine="708"/>
        <w:jc w:val="both"/>
        <w:rPr>
          <w:sz w:val="27"/>
          <w:szCs w:val="27"/>
        </w:rPr>
      </w:pPr>
    </w:p>
    <w:sectPr w:rsidR="002B105B" w:rsidRPr="00715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CEB"/>
    <w:multiLevelType w:val="hybridMultilevel"/>
    <w:tmpl w:val="887EB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5B3C93"/>
    <w:multiLevelType w:val="hybridMultilevel"/>
    <w:tmpl w:val="3F9CB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B3D3A"/>
    <w:multiLevelType w:val="hybridMultilevel"/>
    <w:tmpl w:val="34C4B3B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6423299"/>
    <w:multiLevelType w:val="hybridMultilevel"/>
    <w:tmpl w:val="8808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031A3B"/>
    <w:multiLevelType w:val="hybridMultilevel"/>
    <w:tmpl w:val="8440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6A1BA0"/>
    <w:multiLevelType w:val="hybridMultilevel"/>
    <w:tmpl w:val="3FF2AE72"/>
    <w:lvl w:ilvl="0" w:tplc="D90C4832">
      <w:start w:val="1"/>
      <w:numFmt w:val="decimal"/>
      <w:lvlText w:val="%1."/>
      <w:lvlJc w:val="left"/>
      <w:pPr>
        <w:ind w:left="720" w:hanging="360"/>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FE46B1"/>
    <w:multiLevelType w:val="hybridMultilevel"/>
    <w:tmpl w:val="55A05B0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7">
    <w:nsid w:val="2B43619D"/>
    <w:multiLevelType w:val="hybridMultilevel"/>
    <w:tmpl w:val="7DFE159A"/>
    <w:lvl w:ilvl="0" w:tplc="339A10DE">
      <w:start w:val="1"/>
      <w:numFmt w:val="decimal"/>
      <w:lvlText w:val="%1."/>
      <w:lvlJc w:val="left"/>
      <w:pPr>
        <w:ind w:left="502"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2E9664DB"/>
    <w:multiLevelType w:val="hybridMultilevel"/>
    <w:tmpl w:val="14BCD0C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3B73DC1"/>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8583F8A"/>
    <w:multiLevelType w:val="multilevel"/>
    <w:tmpl w:val="5712A83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45A62DAF"/>
    <w:multiLevelType w:val="hybridMultilevel"/>
    <w:tmpl w:val="B22A6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F428F6"/>
    <w:multiLevelType w:val="multilevel"/>
    <w:tmpl w:val="1EB66C90"/>
    <w:lvl w:ilvl="0">
      <w:start w:val="2"/>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F7E6B10"/>
    <w:multiLevelType w:val="hybridMultilevel"/>
    <w:tmpl w:val="3C1EC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117A53"/>
    <w:multiLevelType w:val="hybridMultilevel"/>
    <w:tmpl w:val="4D24E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DF4C7D"/>
    <w:multiLevelType w:val="multilevel"/>
    <w:tmpl w:val="A73648EE"/>
    <w:lvl w:ilvl="0">
      <w:start w:val="1"/>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02D3B18"/>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79242279"/>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8"/>
  </w:num>
  <w:num w:numId="2">
    <w:abstractNumId w:val="0"/>
  </w:num>
  <w:num w:numId="3">
    <w:abstractNumId w:val="2"/>
  </w:num>
  <w:num w:numId="4">
    <w:abstractNumId w:val="9"/>
  </w:num>
  <w:num w:numId="5">
    <w:abstractNumId w:val="17"/>
  </w:num>
  <w:num w:numId="6">
    <w:abstractNumId w:val="1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5"/>
  </w:num>
  <w:num w:numId="10">
    <w:abstractNumId w:val="6"/>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E38"/>
    <w:rsid w:val="00010ECC"/>
    <w:rsid w:val="00014BBF"/>
    <w:rsid w:val="0004640C"/>
    <w:rsid w:val="00085378"/>
    <w:rsid w:val="00085AAC"/>
    <w:rsid w:val="0008641B"/>
    <w:rsid w:val="000B7596"/>
    <w:rsid w:val="000C2B3C"/>
    <w:rsid w:val="000F0267"/>
    <w:rsid w:val="000F1DE9"/>
    <w:rsid w:val="000F6266"/>
    <w:rsid w:val="00124EAD"/>
    <w:rsid w:val="00126DE9"/>
    <w:rsid w:val="00152D68"/>
    <w:rsid w:val="00195BF2"/>
    <w:rsid w:val="001C3C08"/>
    <w:rsid w:val="001C7E77"/>
    <w:rsid w:val="001D7CE9"/>
    <w:rsid w:val="002119C9"/>
    <w:rsid w:val="00240634"/>
    <w:rsid w:val="00240FCB"/>
    <w:rsid w:val="00263D7C"/>
    <w:rsid w:val="00273866"/>
    <w:rsid w:val="00286AB0"/>
    <w:rsid w:val="00287D06"/>
    <w:rsid w:val="002A1F32"/>
    <w:rsid w:val="002A41EE"/>
    <w:rsid w:val="002B105B"/>
    <w:rsid w:val="002B75CA"/>
    <w:rsid w:val="002E4B22"/>
    <w:rsid w:val="00313CFF"/>
    <w:rsid w:val="00324C84"/>
    <w:rsid w:val="00331A2F"/>
    <w:rsid w:val="00333B78"/>
    <w:rsid w:val="00344CA6"/>
    <w:rsid w:val="003904EA"/>
    <w:rsid w:val="00390626"/>
    <w:rsid w:val="003A11B2"/>
    <w:rsid w:val="003B18C6"/>
    <w:rsid w:val="003B3F1B"/>
    <w:rsid w:val="003B6E82"/>
    <w:rsid w:val="003C29AF"/>
    <w:rsid w:val="003E564E"/>
    <w:rsid w:val="00413FBB"/>
    <w:rsid w:val="004837C8"/>
    <w:rsid w:val="004A4F3C"/>
    <w:rsid w:val="004B3CEB"/>
    <w:rsid w:val="004D624F"/>
    <w:rsid w:val="004D6815"/>
    <w:rsid w:val="004E3B6C"/>
    <w:rsid w:val="005009E5"/>
    <w:rsid w:val="0052370C"/>
    <w:rsid w:val="00531500"/>
    <w:rsid w:val="00532FF5"/>
    <w:rsid w:val="0053669E"/>
    <w:rsid w:val="0054625E"/>
    <w:rsid w:val="00570134"/>
    <w:rsid w:val="00571E38"/>
    <w:rsid w:val="0057304D"/>
    <w:rsid w:val="005736B7"/>
    <w:rsid w:val="0059339A"/>
    <w:rsid w:val="005A518A"/>
    <w:rsid w:val="005C2091"/>
    <w:rsid w:val="00636CDE"/>
    <w:rsid w:val="0064380F"/>
    <w:rsid w:val="006446D0"/>
    <w:rsid w:val="00660CAB"/>
    <w:rsid w:val="00687EC8"/>
    <w:rsid w:val="00692608"/>
    <w:rsid w:val="00706D41"/>
    <w:rsid w:val="007159D4"/>
    <w:rsid w:val="0072358F"/>
    <w:rsid w:val="00733624"/>
    <w:rsid w:val="0076119D"/>
    <w:rsid w:val="0078011E"/>
    <w:rsid w:val="007842AA"/>
    <w:rsid w:val="00785CDE"/>
    <w:rsid w:val="007A4938"/>
    <w:rsid w:val="007F495A"/>
    <w:rsid w:val="00813CF1"/>
    <w:rsid w:val="00822D19"/>
    <w:rsid w:val="008254CC"/>
    <w:rsid w:val="00830A4D"/>
    <w:rsid w:val="00841BFB"/>
    <w:rsid w:val="00843302"/>
    <w:rsid w:val="00856A81"/>
    <w:rsid w:val="0086288E"/>
    <w:rsid w:val="008B155E"/>
    <w:rsid w:val="008C2EF1"/>
    <w:rsid w:val="008E0623"/>
    <w:rsid w:val="008F5310"/>
    <w:rsid w:val="008F541B"/>
    <w:rsid w:val="00913B6C"/>
    <w:rsid w:val="00915580"/>
    <w:rsid w:val="00916964"/>
    <w:rsid w:val="00935193"/>
    <w:rsid w:val="0096495C"/>
    <w:rsid w:val="00966FBA"/>
    <w:rsid w:val="00982827"/>
    <w:rsid w:val="00A019CF"/>
    <w:rsid w:val="00A12F97"/>
    <w:rsid w:val="00A170CE"/>
    <w:rsid w:val="00A435CF"/>
    <w:rsid w:val="00A46C5C"/>
    <w:rsid w:val="00A525BA"/>
    <w:rsid w:val="00A52B63"/>
    <w:rsid w:val="00A83E00"/>
    <w:rsid w:val="00A940D6"/>
    <w:rsid w:val="00AB12A4"/>
    <w:rsid w:val="00AB1E5C"/>
    <w:rsid w:val="00AF2D9A"/>
    <w:rsid w:val="00B05F57"/>
    <w:rsid w:val="00B20A31"/>
    <w:rsid w:val="00B45FE2"/>
    <w:rsid w:val="00B76D74"/>
    <w:rsid w:val="00B803C5"/>
    <w:rsid w:val="00B82BD7"/>
    <w:rsid w:val="00B972C2"/>
    <w:rsid w:val="00BF2EB3"/>
    <w:rsid w:val="00C07A4C"/>
    <w:rsid w:val="00C10B68"/>
    <w:rsid w:val="00C41124"/>
    <w:rsid w:val="00C535FD"/>
    <w:rsid w:val="00C7470C"/>
    <w:rsid w:val="00C9088C"/>
    <w:rsid w:val="00C920BC"/>
    <w:rsid w:val="00CA77C2"/>
    <w:rsid w:val="00D3093A"/>
    <w:rsid w:val="00D32A24"/>
    <w:rsid w:val="00D66628"/>
    <w:rsid w:val="00D774D1"/>
    <w:rsid w:val="00D958B8"/>
    <w:rsid w:val="00DF04AB"/>
    <w:rsid w:val="00E03AE2"/>
    <w:rsid w:val="00E12FD0"/>
    <w:rsid w:val="00E276CF"/>
    <w:rsid w:val="00E507B6"/>
    <w:rsid w:val="00E54FC0"/>
    <w:rsid w:val="00E84681"/>
    <w:rsid w:val="00E84A24"/>
    <w:rsid w:val="00E92FC1"/>
    <w:rsid w:val="00EB78F5"/>
    <w:rsid w:val="00EC25B0"/>
    <w:rsid w:val="00ED3631"/>
    <w:rsid w:val="00F05530"/>
    <w:rsid w:val="00F05586"/>
    <w:rsid w:val="00F248BC"/>
    <w:rsid w:val="00F66399"/>
    <w:rsid w:val="00F8425D"/>
    <w:rsid w:val="00FB6E22"/>
    <w:rsid w:val="00FC2683"/>
    <w:rsid w:val="00FD3466"/>
    <w:rsid w:val="00FF4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570134"/>
    <w:rPr>
      <w:rFonts w:ascii="Tahoma" w:hAnsi="Tahoma" w:cs="Tahoma"/>
      <w:sz w:val="16"/>
      <w:szCs w:val="16"/>
    </w:rPr>
  </w:style>
  <w:style w:type="character" w:customStyle="1" w:styleId="a5">
    <w:name w:val="Текст выноски Знак"/>
    <w:link w:val="a4"/>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paragraph" w:styleId="a6">
    <w:name w:val="List Paragraph"/>
    <w:basedOn w:val="a"/>
    <w:uiPriority w:val="34"/>
    <w:qFormat/>
    <w:rsid w:val="00B972C2"/>
    <w:pPr>
      <w:ind w:left="708"/>
    </w:pPr>
  </w:style>
  <w:style w:type="character" w:customStyle="1" w:styleId="ConsPlusNonformat0">
    <w:name w:val="ConsPlusNonformat Знак"/>
    <w:link w:val="ConsPlusNonformat"/>
    <w:locked/>
    <w:rsid w:val="00935193"/>
    <w:rPr>
      <w:rFonts w:ascii="Courier New" w:hAnsi="Courier New" w:cs="Courier New"/>
    </w:rPr>
  </w:style>
  <w:style w:type="paragraph" w:styleId="2">
    <w:name w:val="Body Text 2"/>
    <w:basedOn w:val="a"/>
    <w:link w:val="20"/>
    <w:rsid w:val="00240634"/>
    <w:rPr>
      <w:sz w:val="28"/>
      <w:szCs w:val="20"/>
    </w:rPr>
  </w:style>
  <w:style w:type="character" w:customStyle="1" w:styleId="20">
    <w:name w:val="Основной текст 2 Знак"/>
    <w:link w:val="2"/>
    <w:rsid w:val="00240634"/>
    <w:rPr>
      <w:sz w:val="28"/>
    </w:rPr>
  </w:style>
  <w:style w:type="paragraph" w:customStyle="1" w:styleId="ConsPlusNormal">
    <w:name w:val="ConsPlusNormal"/>
    <w:rsid w:val="005A518A"/>
    <w:pPr>
      <w:widowControl w:val="0"/>
      <w:autoSpaceDE w:val="0"/>
      <w:autoSpaceDN w:val="0"/>
      <w:adjustRightInd w:val="0"/>
      <w:ind w:firstLine="720"/>
    </w:pPr>
    <w:rPr>
      <w:rFonts w:ascii="Arial" w:hAnsi="Arial" w:cs="Arial"/>
    </w:rPr>
  </w:style>
  <w:style w:type="character" w:customStyle="1" w:styleId="searchresult">
    <w:name w:val="search_result"/>
    <w:rsid w:val="005A518A"/>
  </w:style>
  <w:style w:type="character" w:styleId="a7">
    <w:name w:val="Hyperlink"/>
    <w:uiPriority w:val="99"/>
    <w:unhideWhenUsed/>
    <w:rsid w:val="005A518A"/>
    <w:rPr>
      <w:color w:val="0000FF"/>
      <w:u w:val="single"/>
    </w:rPr>
  </w:style>
  <w:style w:type="character" w:styleId="a8">
    <w:name w:val="FollowedHyperlink"/>
    <w:uiPriority w:val="99"/>
    <w:unhideWhenUsed/>
    <w:rsid w:val="005A518A"/>
    <w:rPr>
      <w:color w:val="800080"/>
      <w:u w:val="single"/>
    </w:rPr>
  </w:style>
  <w:style w:type="character" w:styleId="a9">
    <w:name w:val="Emphasis"/>
    <w:uiPriority w:val="20"/>
    <w:qFormat/>
    <w:rsid w:val="005A51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81426">
      <w:bodyDiv w:val="1"/>
      <w:marLeft w:val="0"/>
      <w:marRight w:val="0"/>
      <w:marTop w:val="0"/>
      <w:marBottom w:val="0"/>
      <w:divBdr>
        <w:top w:val="none" w:sz="0" w:space="0" w:color="auto"/>
        <w:left w:val="none" w:sz="0" w:space="0" w:color="auto"/>
        <w:bottom w:val="none" w:sz="0" w:space="0" w:color="auto"/>
        <w:right w:val="none" w:sz="0" w:space="0" w:color="auto"/>
      </w:divBdr>
    </w:div>
    <w:div w:id="1300694655">
      <w:bodyDiv w:val="1"/>
      <w:marLeft w:val="0"/>
      <w:marRight w:val="0"/>
      <w:marTop w:val="0"/>
      <w:marBottom w:val="0"/>
      <w:divBdr>
        <w:top w:val="none" w:sz="0" w:space="0" w:color="auto"/>
        <w:left w:val="none" w:sz="0" w:space="0" w:color="auto"/>
        <w:bottom w:val="none" w:sz="0" w:space="0" w:color="auto"/>
        <w:right w:val="none" w:sz="0" w:space="0" w:color="auto"/>
      </w:divBdr>
    </w:div>
    <w:div w:id="1347749298">
      <w:bodyDiv w:val="1"/>
      <w:marLeft w:val="0"/>
      <w:marRight w:val="0"/>
      <w:marTop w:val="0"/>
      <w:marBottom w:val="0"/>
      <w:divBdr>
        <w:top w:val="none" w:sz="0" w:space="0" w:color="auto"/>
        <w:left w:val="none" w:sz="0" w:space="0" w:color="auto"/>
        <w:bottom w:val="none" w:sz="0" w:space="0" w:color="auto"/>
        <w:right w:val="none" w:sz="0" w:space="0" w:color="auto"/>
      </w:divBdr>
    </w:div>
    <w:div w:id="1422525621">
      <w:bodyDiv w:val="1"/>
      <w:marLeft w:val="0"/>
      <w:marRight w:val="0"/>
      <w:marTop w:val="0"/>
      <w:marBottom w:val="0"/>
      <w:divBdr>
        <w:top w:val="none" w:sz="0" w:space="0" w:color="auto"/>
        <w:left w:val="none" w:sz="0" w:space="0" w:color="auto"/>
        <w:bottom w:val="none" w:sz="0" w:space="0" w:color="auto"/>
        <w:right w:val="none" w:sz="0" w:space="0" w:color="auto"/>
      </w:divBdr>
    </w:div>
    <w:div w:id="1957716002">
      <w:bodyDiv w:val="1"/>
      <w:marLeft w:val="0"/>
      <w:marRight w:val="0"/>
      <w:marTop w:val="0"/>
      <w:marBottom w:val="0"/>
      <w:divBdr>
        <w:top w:val="none" w:sz="0" w:space="0" w:color="auto"/>
        <w:left w:val="none" w:sz="0" w:space="0" w:color="auto"/>
        <w:bottom w:val="none" w:sz="0" w:space="0" w:color="auto"/>
        <w:right w:val="none" w:sz="0" w:space="0" w:color="auto"/>
      </w:divBdr>
    </w:div>
    <w:div w:id="197633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3"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3" Type="http://schemas.openxmlformats.org/officeDocument/2006/relationships/styles" Target="styles.xml"/><Relationship Id="rId7"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2"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4" Type="http://schemas.microsoft.com/office/2007/relationships/stylesWithEffects" Target="stylesWithEffects.xml"/><Relationship Id="rId9"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4"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C1BF-B451-4E33-924A-96DA3F948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9746</Words>
  <Characters>55554</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MoBIL GROUP</Company>
  <LinksUpToDate>false</LinksUpToDate>
  <CharactersWithSpaces>65170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Admin</dc:creator>
  <cp:lastModifiedBy>user</cp:lastModifiedBy>
  <cp:revision>2</cp:revision>
  <cp:lastPrinted>2020-10-30T08:19:00Z</cp:lastPrinted>
  <dcterms:created xsi:type="dcterms:W3CDTF">2024-07-31T05:20:00Z</dcterms:created>
  <dcterms:modified xsi:type="dcterms:W3CDTF">2024-07-31T05:20:00Z</dcterms:modified>
</cp:coreProperties>
</file>